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pacing w:lineRule="auto" w:line="288" w:before="0" w:after="14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779"/>
        <w:gridCol w:w="844"/>
        <w:gridCol w:w="1269"/>
        <w:gridCol w:w="891"/>
        <w:gridCol w:w="1299"/>
        <w:gridCol w:w="1022"/>
        <w:gridCol w:w="1055"/>
      </w:tblGrid>
      <w:tr>
        <w:trPr>
          <w:cantSplit w:val="false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Прокат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цены с 1.01.15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цены с 1.01.15</w:t>
            </w:r>
          </w:p>
        </w:tc>
      </w:tr>
      <w:tr>
        <w:trPr>
          <w:cantSplit w:val="false"/>
        </w:trPr>
        <w:tc>
          <w:tcPr>
            <w:tcW w:w="204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Наименование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Время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Цена/руб (понедельник, вторник, среда, четверг)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Цена/руб (пятница, суббота, воскресенье, праздничные дни)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Цена/руб (пн,вт,ср,чт)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Цена/руб (пт,сб,вс)</w:t>
            </w:r>
          </w:p>
        </w:tc>
      </w:tr>
      <w:tr>
        <w:trPr>
          <w:cantSplit w:val="false"/>
        </w:trPr>
        <w:tc>
          <w:tcPr>
            <w:tcW w:w="204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Дети до 12 лет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Взрослые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Дети до 12 лет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Взрослые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w="204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Горные лыжи/сноуборд (комплект с ботинками)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Первый час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600</w:t>
            </w:r>
          </w:p>
        </w:tc>
      </w:tr>
      <w:tr>
        <w:trPr>
          <w:cantSplit w:val="false"/>
        </w:trPr>
        <w:tc>
          <w:tcPr>
            <w:tcW w:w="204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Последующие часы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</w:tr>
      <w:tr>
        <w:trPr>
          <w:cantSplit w:val="false"/>
        </w:trPr>
        <w:tc>
          <w:tcPr>
            <w:tcW w:w="204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Беговые лыжи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Первый час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</w:tr>
      <w:tr>
        <w:trPr>
          <w:cantSplit w:val="false"/>
        </w:trPr>
        <w:tc>
          <w:tcPr>
            <w:tcW w:w="204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Последующие часы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Тюбинг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 час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Камера хранения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 день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</w:tr>
      <w:tr>
        <w:trPr>
          <w:cantSplit w:val="false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Подъемник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 подъем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 подъем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350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 подъем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450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 подъем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700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 подъем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900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 подъем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900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1200</w:t>
            </w:r>
          </w:p>
        </w:tc>
      </w:tr>
      <w:tr>
        <w:trPr>
          <w:cantSplit w:val="false"/>
        </w:trPr>
        <w:tc>
          <w:tcPr>
            <w:tcW w:w="2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Абонемент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 день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1400</w:t>
            </w:r>
          </w:p>
        </w:tc>
      </w:tr>
      <w:tr>
        <w:trPr>
          <w:cantSplit w:val="false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Другие услуги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Заточка коньков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Обработка скользящей поверхности парафином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Шлифовка скользящей поверхности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от 500 до 800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Заливка царапин скользящей поверхности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300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Сложный ремонт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Договорная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Замена стрепов, баклей, установка бамперов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250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Заклейка ламината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от 300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Консервация скользящей поверхности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</w:tr>
      <w:tr>
        <w:trPr>
          <w:cantSplit w:val="false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Расконсервация скользящей поверхности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</w:t>
            </w:r>
          </w:p>
        </w:tc>
      </w:tr>
      <w:tr>
        <w:trPr>
          <w:cantSplit w:val="false"/>
        </w:trPr>
        <w:tc>
          <w:tcPr>
            <w:tcW w:w="10204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Заточка кантов, обработка скользящей поверхности сноубордов свыше 165 см, лыж свыше 195 см – стоимость работ удваивается.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Для проживающих в гостиничном комплексе ГЛК «Холдоми» в эти дни подъемник – бесплатно.</w:t>
      </w:r>
    </w:p>
    <w:p>
      <w:pPr>
        <w:pStyle w:val="4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Дополнительные развлечения: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 комплексе работают «Караоке бар», «Ночной клуб».  ГЛК «Холдоми» удобен для проведения различных мероприятий: корпоративов, свадеб, семинаров, танцевальных вечеров, конкурсов.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5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5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Также среди услуг ГЛК: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Настольный теннис,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Бильярд («русский» и «пул»),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ind w:left="707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Катание на тюбингах и равнинных лыжах.</w:t>
      </w:r>
    </w:p>
    <w:p>
      <w:pPr>
        <w:pStyle w:val="4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Проживание: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ГЛК «Холдоми» располагает собственной жилой инфраструктурой, и может одновременно разместить около 200 человек в комфортабельных коттеджах и гостинице эконом класса. 4 комфортабельных коттеджа, вместимостью 96 человек. В коттеджах имеются все удобства: санузел, душ, телевизор.К каждому номеру отдельный вход с улицы. Гостиница эконом-класс, вместимостью 79 человек. Автостоянка ГЛК «Холдоми» вмещает 450 автомобилей.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87"/>
        <w:gridCol w:w="3492"/>
        <w:gridCol w:w="1625"/>
      </w:tblGrid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left"/>
              <w:rPr>
                <w:rStyle w:val="Style15"/>
              </w:rPr>
            </w:pPr>
            <w:r>
              <w:rPr>
                <w:rStyle w:val="Style15"/>
              </w:rPr>
              <w:t>Категория размещения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Пятница суббота воскресенье и праздничные дни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Остальные дни</w:t>
            </w:r>
          </w:p>
        </w:tc>
      </w:tr>
      <w:tr>
        <w:trPr>
          <w:cantSplit w:val="false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5"/>
                <w:b/>
                <w:sz w:val="20"/>
              </w:rPr>
            </w:pPr>
            <w:r>
              <w:rPr>
                <w:rStyle w:val="Style15"/>
                <w:b/>
                <w:sz w:val="20"/>
              </w:rPr>
              <w:t>Комфортабельные коттеджи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Двухместный (28 шт.)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4200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Трехместный (12 шт.)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6300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5400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Двухместный номер повышенной комфортности, двухкомнатный (2 шт)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Четырехместный номер повышенной комфортности , двухкомнатный (2 шт)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12500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12500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Дополнительное место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1500</w:t>
            </w:r>
          </w:p>
        </w:tc>
      </w:tr>
      <w:tr>
        <w:trPr>
          <w:cantSplit w:val="false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  <w:b/>
              </w:rPr>
            </w:pPr>
            <w:r>
              <w:rPr>
                <w:rStyle w:val="Style15"/>
                <w:b/>
              </w:rPr>
              <w:t>Гостиница эконом класса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Двухместный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3700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2900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Трехместный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4300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Четырехместный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6400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5700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Пятиместный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7800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7100</w:t>
            </w:r>
          </w:p>
        </w:tc>
      </w:tr>
      <w:tr>
        <w:trPr>
          <w:cantSplit w:val="false"/>
        </w:trPr>
        <w:tc>
          <w:tcPr>
            <w:tcW w:w="50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Шестиместный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9200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8500</w:t>
            </w:r>
          </w:p>
        </w:tc>
      </w:tr>
    </w:tbl>
    <w:p>
      <w:pPr>
        <w:pStyle w:val="4"/>
        <w:ind w:left="0" w:right="0" w:hanging="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Расчетный час: 18:00.</w:t>
      </w:r>
    </w:p>
    <w:p>
      <w:pPr>
        <w:pStyle w:val="Style18"/>
        <w:spacing w:lineRule="auto" w:line="288" w:before="0" w:after="140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